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400" w:rsidRDefault="002F1409">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TSG-RAN2#116-</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bookmarkStart w:id="0" w:name="_GoBack"/>
      <w:bookmarkEnd w:id="0"/>
      <w:r w:rsidR="007A22C3" w:rsidRPr="007A22C3">
        <w:rPr>
          <w:rFonts w:eastAsia="맑은 고딕" w:cs="Arial"/>
          <w:b/>
          <w:i/>
          <w:noProof/>
          <w:color w:val="000000" w:themeColor="text1"/>
          <w:sz w:val="32"/>
          <w:szCs w:val="32"/>
          <w:lang w:eastAsia="ko-KR"/>
        </w:rPr>
        <w:t>R2-2110986</w:t>
      </w:r>
    </w:p>
    <w:p w:rsidR="00925400" w:rsidRDefault="002F1409">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1st Nov - 12th Nov 2021</w:t>
      </w:r>
      <w:r>
        <w:rPr>
          <w:rFonts w:eastAsia="맑은 고딕" w:cs="Arial"/>
          <w:b/>
          <w:noProof/>
          <w:color w:val="000000" w:themeColor="text1"/>
          <w:sz w:val="24"/>
          <w:lang w:eastAsia="ko-KR"/>
        </w:rPr>
        <w:tab/>
      </w:r>
    </w:p>
    <w:p w:rsidR="00925400" w:rsidRDefault="002F1409">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rsidR="00925400" w:rsidRDefault="00925400">
      <w:pPr>
        <w:pStyle w:val="CRCoverPage"/>
        <w:tabs>
          <w:tab w:val="right" w:pos="9639"/>
        </w:tabs>
        <w:spacing w:after="0"/>
        <w:rPr>
          <w:rFonts w:eastAsia="맑은 고딕"/>
          <w:b/>
          <w:noProof/>
          <w:color w:val="000000" w:themeColor="text1"/>
          <w:sz w:val="24"/>
          <w:lang w:eastAsia="ko-KR"/>
        </w:rPr>
      </w:pPr>
    </w:p>
    <w:p w:rsidR="00925400" w:rsidRDefault="002F1409">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1" w:name="Source"/>
      <w:bookmarkEnd w:id="1"/>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 xml:space="preserve">8.6.5 </w:t>
      </w:r>
      <w:r>
        <w:rPr>
          <w:rFonts w:ascii="Arial" w:hAnsi="Arial" w:hint="eastAsia"/>
          <w:color w:val="000000" w:themeColor="text1"/>
          <w:sz w:val="24"/>
          <w:lang w:val="en-US" w:eastAsia="ko-KR"/>
        </w:rPr>
        <w:t>(</w:t>
      </w:r>
      <w:r>
        <w:rPr>
          <w:rFonts w:ascii="Arial" w:hAnsi="Arial"/>
          <w:color w:val="000000" w:themeColor="text1"/>
          <w:sz w:val="24"/>
          <w:lang w:val="en-US" w:eastAsia="ko-KR"/>
        </w:rPr>
        <w:t>NR_SmallData_INACTIVE-Core</w:t>
      </w:r>
      <w:r>
        <w:rPr>
          <w:rFonts w:ascii="Arial" w:hAnsi="Arial" w:hint="eastAsia"/>
          <w:color w:val="000000" w:themeColor="text1"/>
          <w:sz w:val="24"/>
          <w:lang w:val="en-US" w:eastAsia="ko-KR"/>
        </w:rPr>
        <w:t>)</w:t>
      </w:r>
    </w:p>
    <w:p w:rsidR="00925400" w:rsidRDefault="002F1409">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rsidR="00925400" w:rsidRDefault="002F1409">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Pr>
          <w:rFonts w:ascii="Arial" w:hAnsi="Arial"/>
          <w:color w:val="000000" w:themeColor="text1"/>
          <w:sz w:val="24"/>
          <w:lang w:val="en-US" w:eastAsia="ko-KR"/>
        </w:rPr>
        <w:t>Remaining CG-SDT issues in SDT</w:t>
      </w:r>
    </w:p>
    <w:p w:rsidR="00925400" w:rsidRDefault="002F1409">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2" w:name="DocumentFor"/>
      <w:bookmarkEnd w:id="2"/>
      <w:r>
        <w:rPr>
          <w:rFonts w:ascii="Arial" w:hAnsi="Arial"/>
          <w:color w:val="000000" w:themeColor="text1"/>
          <w:sz w:val="24"/>
          <w:lang w:val="en-US" w:eastAsia="ko-KR"/>
        </w:rPr>
        <w:t>Discussion and Decision</w:t>
      </w:r>
    </w:p>
    <w:p w:rsidR="00925400" w:rsidRDefault="002F1409">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rsidR="00925400" w:rsidRDefault="002F1409">
      <w:pPr>
        <w:widowControl/>
        <w:adjustRightInd/>
        <w:spacing w:line="259" w:lineRule="auto"/>
        <w:jc w:val="left"/>
        <w:textAlignment w:val="auto"/>
        <w:rPr>
          <w:color w:val="000000" w:themeColor="text1"/>
          <w:lang w:val="en-US" w:eastAsia="ko-KR"/>
        </w:rPr>
      </w:pPr>
      <w:r>
        <w:rPr>
          <w:color w:val="000000" w:themeColor="text1"/>
          <w:lang w:val="en-US" w:eastAsia="ko-KR"/>
        </w:rPr>
        <w:t>In the last meeting, RAN2 discussed open issues for CG-SDT in [1], and made following agreements.</w:t>
      </w:r>
    </w:p>
    <w:tbl>
      <w:tblPr>
        <w:tblStyle w:val="31"/>
        <w:tblW w:w="0" w:type="auto"/>
        <w:tblInd w:w="1622" w:type="dxa"/>
        <w:tblLook w:val="04A0" w:firstRow="1" w:lastRow="0" w:firstColumn="1" w:lastColumn="0" w:noHBand="0" w:noVBand="1"/>
      </w:tblPr>
      <w:tblGrid>
        <w:gridCol w:w="8009"/>
      </w:tblGrid>
      <w:tr w:rsidR="00925400">
        <w:tc>
          <w:tcPr>
            <w:tcW w:w="8572" w:type="dxa"/>
          </w:tcPr>
          <w:p w:rsidR="00925400" w:rsidRDefault="002F1409">
            <w:pPr>
              <w:widowControl/>
              <w:tabs>
                <w:tab w:val="left" w:pos="1622"/>
              </w:tabs>
              <w:overflowPunct w:val="0"/>
              <w:autoSpaceDE w:val="0"/>
              <w:autoSpaceDN w:val="0"/>
              <w:spacing w:after="0" w:line="240" w:lineRule="auto"/>
              <w:ind w:left="363" w:hanging="363"/>
              <w:jc w:val="left"/>
              <w:rPr>
                <w:rFonts w:ascii="Arial" w:eastAsia="Times New Roman" w:hAnsi="Arial"/>
                <w:b/>
                <w:bCs/>
                <w:lang w:eastAsia="ja-JP"/>
              </w:rPr>
            </w:pPr>
            <w:r>
              <w:rPr>
                <w:rFonts w:ascii="Arial" w:eastAsia="Times New Roman" w:hAnsi="Arial"/>
                <w:b/>
                <w:bCs/>
                <w:lang w:eastAsia="ja-JP"/>
              </w:rPr>
              <w:t>Agreements</w:t>
            </w:r>
          </w:p>
          <w:p w:rsidR="00925400" w:rsidRDefault="002F1409">
            <w:pPr>
              <w:widowControl/>
              <w:tabs>
                <w:tab w:val="left" w:pos="1622"/>
              </w:tabs>
              <w:overflowPunct w:val="0"/>
              <w:autoSpaceDE w:val="0"/>
              <w:autoSpaceDN w:val="0"/>
              <w:spacing w:after="0" w:line="240" w:lineRule="auto"/>
              <w:ind w:left="363" w:hanging="363"/>
              <w:jc w:val="left"/>
              <w:rPr>
                <w:rFonts w:ascii="Arial" w:eastAsia="Times New Roman" w:hAnsi="Arial"/>
                <w:lang w:eastAsia="ja-JP"/>
              </w:rPr>
            </w:pPr>
            <w:r>
              <w:rPr>
                <w:rFonts w:ascii="Arial" w:eastAsia="Times New Roman" w:hAnsi="Arial"/>
                <w:lang w:eastAsia="ja-JP"/>
              </w:rPr>
              <w:t>1.</w:t>
            </w:r>
            <w:r>
              <w:rPr>
                <w:rFonts w:ascii="Arial" w:eastAsia="Times New Roman" w:hAnsi="Arial"/>
                <w:lang w:eastAsia="ja-JP"/>
              </w:rPr>
              <w:tab/>
              <w:t>If none of the SSBs’ RSRP is above the RSRP</w:t>
            </w:r>
            <w:r>
              <w:rPr>
                <w:rFonts w:ascii="Arial" w:eastAsia="Times New Roman" w:hAnsi="Arial"/>
                <w:lang w:eastAsia="ja-JP"/>
              </w:rPr>
              <w:t xml:space="preserve"> threshold of CG-SDT criteria in the type selection phase, UE should select RA-SDT if RA-SDT criteria is met</w:t>
            </w:r>
          </w:p>
          <w:p w:rsidR="00925400" w:rsidRDefault="002F1409">
            <w:pPr>
              <w:widowControl/>
              <w:tabs>
                <w:tab w:val="left" w:pos="1622"/>
              </w:tabs>
              <w:overflowPunct w:val="0"/>
              <w:autoSpaceDE w:val="0"/>
              <w:autoSpaceDN w:val="0"/>
              <w:spacing w:after="0" w:line="240" w:lineRule="auto"/>
              <w:ind w:left="363" w:hanging="363"/>
              <w:jc w:val="left"/>
              <w:rPr>
                <w:rFonts w:ascii="Arial" w:eastAsia="Times New Roman" w:hAnsi="Arial"/>
                <w:lang w:eastAsia="ja-JP"/>
              </w:rPr>
            </w:pPr>
            <w:r>
              <w:rPr>
                <w:rFonts w:ascii="Arial" w:eastAsia="Times New Roman" w:hAnsi="Arial"/>
                <w:lang w:eastAsia="ja-JP"/>
              </w:rPr>
              <w:t>2.</w:t>
            </w:r>
            <w:r>
              <w:rPr>
                <w:rFonts w:ascii="Arial" w:eastAsia="Times New Roman" w:hAnsi="Arial"/>
                <w:lang w:eastAsia="ja-JP"/>
              </w:rPr>
              <w:tab/>
              <w:t>MAC PDU rebuilding is not required (unless we find a case that is needed)</w:t>
            </w:r>
          </w:p>
          <w:p w:rsidR="00925400" w:rsidRDefault="002F1409">
            <w:pPr>
              <w:widowControl/>
              <w:tabs>
                <w:tab w:val="left" w:pos="1622"/>
              </w:tabs>
              <w:overflowPunct w:val="0"/>
              <w:autoSpaceDE w:val="0"/>
              <w:autoSpaceDN w:val="0"/>
              <w:spacing w:after="0" w:line="240" w:lineRule="auto"/>
              <w:ind w:left="363" w:hanging="363"/>
              <w:jc w:val="left"/>
              <w:rPr>
                <w:rFonts w:ascii="Arial" w:eastAsia="Times New Roman" w:hAnsi="Arial"/>
                <w:lang w:eastAsia="ja-JP"/>
              </w:rPr>
            </w:pPr>
            <w:r>
              <w:rPr>
                <w:rFonts w:ascii="Arial" w:eastAsia="Times New Roman" w:hAnsi="Arial"/>
                <w:lang w:eastAsia="ja-JP"/>
              </w:rPr>
              <w:t>3.</w:t>
            </w:r>
            <w:r>
              <w:rPr>
                <w:rFonts w:ascii="Arial" w:eastAsia="Times New Roman" w:hAnsi="Arial"/>
                <w:lang w:eastAsia="ja-JP"/>
              </w:rPr>
              <w:tab/>
              <w:t>During subsequent CG transmission phase (i.e. after the UE has rece</w:t>
            </w:r>
            <w:r>
              <w:rPr>
                <w:rFonts w:ascii="Arial" w:eastAsia="Times New Roman" w:hAnsi="Arial"/>
                <w:lang w:eastAsia="ja-JP"/>
              </w:rPr>
              <w:t xml:space="preserve">ived response from NW) UE can initiate at least legacy RACH procedure (e.g. trigger due to no UL resources).  No MAC PDU rebuilding is required.  </w:t>
            </w:r>
            <w:r>
              <w:rPr>
                <w:rFonts w:ascii="Arial" w:eastAsia="Times New Roman" w:hAnsi="Arial"/>
                <w:highlight w:val="yellow"/>
                <w:lang w:eastAsia="ja-JP"/>
              </w:rPr>
              <w:t>FFS if the RA-SDT RA resources can be used for subsequent data.</w:t>
            </w:r>
            <w:r>
              <w:rPr>
                <w:rFonts w:ascii="Arial" w:eastAsia="Times New Roman" w:hAnsi="Arial"/>
                <w:lang w:eastAsia="ja-JP"/>
              </w:rPr>
              <w:t xml:space="preserve">   </w:t>
            </w:r>
          </w:p>
          <w:p w:rsidR="00925400" w:rsidRDefault="002F1409">
            <w:pPr>
              <w:widowControl/>
              <w:tabs>
                <w:tab w:val="left" w:pos="1622"/>
              </w:tabs>
              <w:overflowPunct w:val="0"/>
              <w:autoSpaceDE w:val="0"/>
              <w:autoSpaceDN w:val="0"/>
              <w:spacing w:after="0" w:line="240" w:lineRule="auto"/>
              <w:ind w:left="726" w:hanging="363"/>
              <w:jc w:val="left"/>
              <w:rPr>
                <w:rFonts w:ascii="Arial" w:eastAsia="Times New Roman" w:hAnsi="Arial"/>
                <w:lang w:eastAsia="ja-JP"/>
              </w:rPr>
            </w:pPr>
            <w:r>
              <w:rPr>
                <w:rFonts w:ascii="Arial" w:eastAsia="Times New Roman" w:hAnsi="Arial"/>
                <w:lang w:eastAsia="ja-JP"/>
              </w:rPr>
              <w:t>a.</w:t>
            </w:r>
            <w:r>
              <w:rPr>
                <w:rFonts w:ascii="Arial" w:eastAsia="Times New Roman" w:hAnsi="Arial"/>
                <w:lang w:eastAsia="ja-JP"/>
              </w:rPr>
              <w:tab/>
              <w:t>At least the following conditions are ag</w:t>
            </w:r>
            <w:r>
              <w:rPr>
                <w:rFonts w:ascii="Arial" w:eastAsia="Times New Roman" w:hAnsi="Arial"/>
                <w:lang w:eastAsia="ja-JP"/>
              </w:rPr>
              <w:t>reed: (1) no qualified SSB when the evaluation is performed; (2) when TA is invalid; (3) when SR is triggered due to lack of UL resource</w:t>
            </w:r>
          </w:p>
          <w:p w:rsidR="00925400" w:rsidRDefault="002F1409">
            <w:pPr>
              <w:widowControl/>
              <w:tabs>
                <w:tab w:val="left" w:pos="1622"/>
              </w:tabs>
              <w:overflowPunct w:val="0"/>
              <w:autoSpaceDE w:val="0"/>
              <w:autoSpaceDN w:val="0"/>
              <w:spacing w:after="0" w:line="240" w:lineRule="auto"/>
              <w:ind w:left="363" w:hanging="363"/>
              <w:jc w:val="left"/>
              <w:rPr>
                <w:rFonts w:ascii="Arial" w:eastAsia="Times New Roman" w:hAnsi="Arial"/>
                <w:lang w:eastAsia="ja-JP"/>
              </w:rPr>
            </w:pPr>
            <w:r>
              <w:rPr>
                <w:rFonts w:ascii="Arial" w:eastAsia="Times New Roman" w:hAnsi="Arial"/>
                <w:lang w:eastAsia="ja-JP"/>
              </w:rPr>
              <w:t>4.</w:t>
            </w:r>
            <w:r>
              <w:rPr>
                <w:rFonts w:ascii="Arial" w:eastAsia="Times New Roman" w:hAnsi="Arial"/>
                <w:lang w:eastAsia="ja-JP"/>
              </w:rPr>
              <w:tab/>
              <w:t>UE should release CG-SDT resource (if stored) when UE initiates RRC resume procedure from another cell which is diff</w:t>
            </w:r>
            <w:r>
              <w:rPr>
                <w:rFonts w:ascii="Arial" w:eastAsia="Times New Roman" w:hAnsi="Arial"/>
                <w:lang w:eastAsia="ja-JP"/>
              </w:rPr>
              <w:t>erent from the cell in which the RRCRelease is received.</w:t>
            </w:r>
          </w:p>
          <w:p w:rsidR="00925400" w:rsidRDefault="002F1409">
            <w:pPr>
              <w:widowControl/>
              <w:tabs>
                <w:tab w:val="left" w:pos="1622"/>
              </w:tabs>
              <w:overflowPunct w:val="0"/>
              <w:autoSpaceDE w:val="0"/>
              <w:autoSpaceDN w:val="0"/>
              <w:spacing w:after="0" w:line="240" w:lineRule="auto"/>
              <w:ind w:left="363" w:hanging="363"/>
              <w:jc w:val="left"/>
              <w:rPr>
                <w:rFonts w:ascii="Arial" w:eastAsia="Times New Roman" w:hAnsi="Arial"/>
                <w:lang w:eastAsia="ja-JP"/>
              </w:rPr>
            </w:pPr>
            <w:r>
              <w:rPr>
                <w:rFonts w:ascii="Arial" w:eastAsia="Times New Roman" w:hAnsi="Arial"/>
                <w:lang w:eastAsia="ja-JP"/>
              </w:rPr>
              <w:t>5.</w:t>
            </w:r>
            <w:r>
              <w:rPr>
                <w:rFonts w:ascii="Arial" w:eastAsia="Times New Roman" w:hAnsi="Arial"/>
                <w:lang w:eastAsia="ja-JP"/>
              </w:rPr>
              <w:tab/>
              <w:t xml:space="preserve">The C-RNTI previously configured in RRC_CONNECTED state is used for UE to monitor PDCCH in CG-SDT.  </w:t>
            </w:r>
          </w:p>
          <w:p w:rsidR="00925400" w:rsidRDefault="002F1409">
            <w:pPr>
              <w:widowControl/>
              <w:tabs>
                <w:tab w:val="left" w:pos="1622"/>
              </w:tabs>
              <w:overflowPunct w:val="0"/>
              <w:autoSpaceDE w:val="0"/>
              <w:autoSpaceDN w:val="0"/>
              <w:spacing w:after="0" w:line="240" w:lineRule="auto"/>
              <w:ind w:left="363" w:hanging="363"/>
              <w:jc w:val="left"/>
              <w:rPr>
                <w:rFonts w:ascii="Arial" w:eastAsia="Times New Roman" w:hAnsi="Arial"/>
                <w:lang w:eastAsia="ja-JP"/>
              </w:rPr>
            </w:pPr>
            <w:r>
              <w:rPr>
                <w:rFonts w:ascii="Arial" w:eastAsia="Times New Roman" w:hAnsi="Arial"/>
                <w:lang w:eastAsia="ja-JP"/>
              </w:rPr>
              <w:t>6.</w:t>
            </w:r>
            <w:r>
              <w:rPr>
                <w:rFonts w:ascii="Arial" w:eastAsia="Times New Roman" w:hAnsi="Arial"/>
                <w:lang w:eastAsia="ja-JP"/>
              </w:rPr>
              <w:tab/>
              <w:t xml:space="preserve">CS-RNTI based dynamic retransmission mechanism can be reused for CG-SDT.  </w:t>
            </w:r>
            <w:r>
              <w:rPr>
                <w:rFonts w:ascii="Arial" w:eastAsia="Times New Roman" w:hAnsi="Arial"/>
                <w:highlight w:val="yellow"/>
                <w:lang w:eastAsia="ja-JP"/>
              </w:rPr>
              <w:t>FFS whether CS-RNT</w:t>
            </w:r>
            <w:r>
              <w:rPr>
                <w:rFonts w:ascii="Arial" w:eastAsia="Times New Roman" w:hAnsi="Arial"/>
                <w:highlight w:val="yellow"/>
                <w:lang w:eastAsia="ja-JP"/>
              </w:rPr>
              <w:t>I is the same one as the one previously configured in RRC_CONNECTED or a new CS-RNTI one is provided to the UE</w:t>
            </w:r>
          </w:p>
          <w:p w:rsidR="00925400" w:rsidRDefault="002F1409">
            <w:pPr>
              <w:widowControl/>
              <w:tabs>
                <w:tab w:val="left" w:pos="1622"/>
              </w:tabs>
              <w:overflowPunct w:val="0"/>
              <w:autoSpaceDE w:val="0"/>
              <w:autoSpaceDN w:val="0"/>
              <w:spacing w:after="0" w:line="240" w:lineRule="auto"/>
              <w:ind w:left="363" w:hanging="363"/>
              <w:jc w:val="left"/>
              <w:rPr>
                <w:rFonts w:ascii="Arial" w:eastAsia="Times New Roman" w:hAnsi="Arial"/>
                <w:lang w:eastAsia="ja-JP"/>
              </w:rPr>
            </w:pPr>
            <w:r>
              <w:rPr>
                <w:rFonts w:ascii="Arial" w:eastAsia="Times New Roman" w:hAnsi="Arial"/>
                <w:lang w:eastAsia="ja-JP"/>
              </w:rPr>
              <w:t>7.</w:t>
            </w:r>
            <w:r>
              <w:rPr>
                <w:rFonts w:ascii="Arial" w:eastAsia="Times New Roman" w:hAnsi="Arial"/>
                <w:lang w:eastAsia="ja-JP"/>
              </w:rPr>
              <w:tab/>
              <w:t>During the subsequent new CG transmission phase, for the purpose of CG resource selection, UE re-evaluates the SSB for subsequent CG transmiss</w:t>
            </w:r>
            <w:r>
              <w:rPr>
                <w:rFonts w:ascii="Arial" w:eastAsia="Times New Roman" w:hAnsi="Arial"/>
                <w:lang w:eastAsia="ja-JP"/>
              </w:rPr>
              <w:t xml:space="preserve">ion.  </w:t>
            </w:r>
            <w:r>
              <w:rPr>
                <w:rFonts w:ascii="Arial" w:eastAsia="Times New Roman" w:hAnsi="Arial"/>
                <w:highlight w:val="yellow"/>
                <w:lang w:eastAsia="ja-JP"/>
              </w:rPr>
              <w:t>FFS what happens if no SSBs are valid or if no sample is available</w:t>
            </w:r>
          </w:p>
          <w:p w:rsidR="00925400" w:rsidRDefault="002F1409">
            <w:pPr>
              <w:widowControl/>
              <w:tabs>
                <w:tab w:val="left" w:pos="1622"/>
              </w:tabs>
              <w:overflowPunct w:val="0"/>
              <w:autoSpaceDE w:val="0"/>
              <w:autoSpaceDN w:val="0"/>
              <w:spacing w:after="0" w:line="240" w:lineRule="auto"/>
              <w:ind w:left="363" w:hanging="363"/>
              <w:jc w:val="left"/>
              <w:rPr>
                <w:rFonts w:ascii="Arial" w:eastAsia="Times New Roman" w:hAnsi="Arial"/>
                <w:lang w:eastAsia="ja-JP"/>
              </w:rPr>
            </w:pPr>
            <w:r>
              <w:rPr>
                <w:rFonts w:ascii="Arial" w:eastAsia="Times New Roman" w:hAnsi="Arial"/>
                <w:lang w:eastAsia="ja-JP"/>
              </w:rPr>
              <w:t>8.</w:t>
            </w:r>
            <w:r>
              <w:rPr>
                <w:rFonts w:ascii="Arial" w:eastAsia="Times New Roman" w:hAnsi="Arial"/>
                <w:lang w:eastAsia="ja-JP"/>
              </w:rPr>
              <w:tab/>
              <w:t xml:space="preserve">From RAN2 perspective, at least the following parameters should be included in the CG-SDT configuration. </w:t>
            </w:r>
            <w:r>
              <w:rPr>
                <w:rFonts w:ascii="Arial" w:eastAsia="Times New Roman" w:hAnsi="Arial"/>
                <w:highlight w:val="yellow"/>
                <w:lang w:eastAsia="ja-JP"/>
              </w:rPr>
              <w:t xml:space="preserve">FFS whether these parameters are common for multiple CG-SDT configurations </w:t>
            </w:r>
            <w:r>
              <w:rPr>
                <w:rFonts w:ascii="Arial" w:eastAsia="Times New Roman" w:hAnsi="Arial"/>
                <w:highlight w:val="yellow"/>
                <w:lang w:eastAsia="ja-JP"/>
              </w:rPr>
              <w:t>or per CG-SDT configuration</w:t>
            </w:r>
            <w:r>
              <w:rPr>
                <w:rFonts w:ascii="Arial" w:eastAsia="Times New Roman" w:hAnsi="Arial"/>
                <w:lang w:eastAsia="ja-JP"/>
              </w:rPr>
              <w:t>.</w:t>
            </w:r>
          </w:p>
          <w:p w:rsidR="00925400" w:rsidRDefault="002F1409">
            <w:pPr>
              <w:widowControl/>
              <w:numPr>
                <w:ilvl w:val="0"/>
                <w:numId w:val="37"/>
              </w:numPr>
              <w:tabs>
                <w:tab w:val="left" w:pos="1622"/>
              </w:tabs>
              <w:overflowPunct w:val="0"/>
              <w:autoSpaceDE w:val="0"/>
              <w:autoSpaceDN w:val="0"/>
              <w:adjustRightInd/>
              <w:spacing w:before="40" w:after="0" w:line="240" w:lineRule="auto"/>
              <w:jc w:val="left"/>
              <w:textAlignment w:val="auto"/>
              <w:rPr>
                <w:rFonts w:ascii="Arial" w:eastAsia="Times New Roman" w:hAnsi="Arial"/>
                <w:lang w:eastAsia="ja-JP"/>
              </w:rPr>
            </w:pPr>
            <w:r>
              <w:rPr>
                <w:rFonts w:ascii="Arial" w:eastAsia="Times New Roman" w:hAnsi="Arial"/>
                <w:lang w:eastAsia="ja-JP"/>
              </w:rPr>
              <w:t>The new TA timer in RRC_INACTIVE;</w:t>
            </w:r>
          </w:p>
          <w:p w:rsidR="00925400" w:rsidRDefault="002F1409">
            <w:pPr>
              <w:widowControl/>
              <w:numPr>
                <w:ilvl w:val="0"/>
                <w:numId w:val="37"/>
              </w:numPr>
              <w:tabs>
                <w:tab w:val="left" w:pos="1622"/>
              </w:tabs>
              <w:overflowPunct w:val="0"/>
              <w:autoSpaceDE w:val="0"/>
              <w:autoSpaceDN w:val="0"/>
              <w:adjustRightInd/>
              <w:spacing w:before="40" w:after="0" w:line="240" w:lineRule="auto"/>
              <w:jc w:val="left"/>
              <w:textAlignment w:val="auto"/>
              <w:rPr>
                <w:rFonts w:ascii="Arial" w:eastAsia="Times New Roman" w:hAnsi="Arial"/>
                <w:lang w:eastAsia="ja-JP"/>
              </w:rPr>
            </w:pPr>
            <w:r>
              <w:rPr>
                <w:rFonts w:ascii="Arial" w:eastAsia="Times New Roman" w:hAnsi="Arial"/>
                <w:lang w:eastAsia="ja-JP"/>
              </w:rPr>
              <w:t>The RSRP change threshold for TA validation mechanism in SDT (details dependent on RAN1);</w:t>
            </w:r>
          </w:p>
          <w:p w:rsidR="00925400" w:rsidRDefault="002F1409">
            <w:pPr>
              <w:widowControl/>
              <w:numPr>
                <w:ilvl w:val="0"/>
                <w:numId w:val="37"/>
              </w:numPr>
              <w:tabs>
                <w:tab w:val="left" w:pos="1622"/>
              </w:tabs>
              <w:overflowPunct w:val="0"/>
              <w:autoSpaceDE w:val="0"/>
              <w:autoSpaceDN w:val="0"/>
              <w:adjustRightInd/>
              <w:spacing w:before="40" w:after="0" w:line="240" w:lineRule="auto"/>
              <w:jc w:val="left"/>
              <w:textAlignment w:val="auto"/>
              <w:rPr>
                <w:rFonts w:ascii="Arial" w:eastAsia="Times New Roman" w:hAnsi="Arial"/>
                <w:lang w:eastAsia="ja-JP"/>
              </w:rPr>
            </w:pPr>
            <w:r>
              <w:rPr>
                <w:rFonts w:ascii="Arial" w:eastAsia="Times New Roman" w:hAnsi="Arial"/>
                <w:lang w:eastAsia="ja-JP"/>
              </w:rPr>
              <w:t>The SSB RSRP threshold for beam selection (i.e. UE selects the beam and associated CG resource for data</w:t>
            </w:r>
            <w:r>
              <w:rPr>
                <w:rFonts w:ascii="Arial" w:eastAsia="Times New Roman" w:hAnsi="Arial"/>
                <w:lang w:eastAsia="ja-JP"/>
              </w:rPr>
              <w:t xml:space="preserve"> transmission).</w:t>
            </w:r>
          </w:p>
        </w:tc>
      </w:tr>
    </w:tbl>
    <w:p w:rsidR="00925400" w:rsidRDefault="00925400">
      <w:pPr>
        <w:spacing w:before="120" w:after="120"/>
        <w:rPr>
          <w:color w:val="000000" w:themeColor="text1"/>
          <w:lang w:val="en-US" w:eastAsia="ko-KR"/>
        </w:rPr>
      </w:pPr>
    </w:p>
    <w:p w:rsidR="00925400" w:rsidRDefault="002F1409">
      <w:pPr>
        <w:spacing w:before="120" w:after="120"/>
        <w:rPr>
          <w:color w:val="000000" w:themeColor="text1"/>
          <w:lang w:val="en-US" w:eastAsia="ko-KR"/>
        </w:rPr>
      </w:pPr>
      <w:r>
        <w:rPr>
          <w:color w:val="000000" w:themeColor="text1"/>
          <w:lang w:val="en-US" w:eastAsia="ko-KR"/>
        </w:rPr>
        <w:t>Though many issues were resolved at RAN2#115e, some FFSs (highlighted in yellow) are still left for further discussion. In this paper, we provide our view on FFS.</w:t>
      </w:r>
    </w:p>
    <w:p w:rsidR="00925400" w:rsidRDefault="002F1409">
      <w:pPr>
        <w:pStyle w:val="1"/>
        <w:rPr>
          <w:color w:val="000000" w:themeColor="text1"/>
          <w:lang w:val="en-US"/>
        </w:rPr>
      </w:pPr>
      <w:r>
        <w:rPr>
          <w:color w:val="000000" w:themeColor="text1"/>
          <w:lang w:val="en-US"/>
        </w:rPr>
        <w:lastRenderedPageBreak/>
        <w:t>2.</w:t>
      </w:r>
      <w:r>
        <w:rPr>
          <w:color w:val="000000" w:themeColor="text1"/>
          <w:lang w:val="en-US"/>
        </w:rPr>
        <w:tab/>
        <w:t>Discussion</w:t>
      </w:r>
    </w:p>
    <w:p w:rsidR="00925400" w:rsidRDefault="002F1409">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First, there was FFS </w:t>
      </w:r>
      <w:r>
        <w:rPr>
          <w:color w:val="000000" w:themeColor="text1"/>
          <w:lang w:val="en-US" w:eastAsia="ko-KR"/>
        </w:rPr>
        <w:t>whether the RA-SDT resources can be used for subsequent data or not during the subsequent phase of CG-SDT. Our opinion on this issue are presented in [1]. In short, the switching from CG-SDT to RA-SDT complicates the UE behaviour and we think there is no b</w:t>
      </w:r>
      <w:r>
        <w:rPr>
          <w:color w:val="000000" w:themeColor="text1"/>
          <w:lang w:val="en-US" w:eastAsia="ko-KR"/>
        </w:rPr>
        <w:t>enefit.</w:t>
      </w:r>
    </w:p>
    <w:p w:rsidR="00925400" w:rsidRPr="0065078E" w:rsidRDefault="002F1409">
      <w:pPr>
        <w:widowControl/>
        <w:adjustRightInd/>
        <w:spacing w:line="259" w:lineRule="auto"/>
        <w:jc w:val="left"/>
        <w:textAlignment w:val="auto"/>
        <w:rPr>
          <w:b/>
          <w:color w:val="000000" w:themeColor="text1"/>
          <w:lang w:val="en-US" w:eastAsia="ko-KR"/>
        </w:rPr>
      </w:pPr>
      <w:r w:rsidRPr="0065078E">
        <w:rPr>
          <w:b/>
          <w:color w:val="000000" w:themeColor="text1"/>
          <w:lang w:val="en-US" w:eastAsia="ko-KR"/>
        </w:rPr>
        <w:t xml:space="preserve">Proposal 1: </w:t>
      </w:r>
      <w:r w:rsidRPr="0065078E">
        <w:rPr>
          <w:b/>
          <w:color w:val="000000" w:themeColor="text1"/>
          <w:lang w:val="en-US" w:eastAsia="ko-KR"/>
        </w:rPr>
        <w:t>Switching from CG-SDT to RA-SDT is not supported.</w:t>
      </w:r>
    </w:p>
    <w:p w:rsidR="00925400" w:rsidRDefault="00925400">
      <w:pPr>
        <w:widowControl/>
        <w:adjustRightInd/>
        <w:spacing w:line="259" w:lineRule="auto"/>
        <w:jc w:val="left"/>
        <w:textAlignment w:val="auto"/>
        <w:rPr>
          <w:color w:val="000000" w:themeColor="text1"/>
          <w:lang w:val="en-US" w:eastAsia="ko-KR"/>
        </w:rPr>
      </w:pPr>
    </w:p>
    <w:p w:rsidR="00925400" w:rsidRDefault="002F1409">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Second, </w:t>
      </w:r>
      <w:r>
        <w:rPr>
          <w:color w:val="000000" w:themeColor="text1"/>
          <w:lang w:val="en-US" w:eastAsia="ko-KR"/>
        </w:rPr>
        <w:t xml:space="preserve">there was FFS about </w:t>
      </w:r>
      <w:r>
        <w:rPr>
          <w:rFonts w:hint="eastAsia"/>
          <w:color w:val="000000" w:themeColor="text1"/>
          <w:lang w:val="en-US" w:eastAsia="ko-KR"/>
        </w:rPr>
        <w:t>CS-RNTI and there were two options.</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rFonts w:hint="eastAsia"/>
          <w:color w:val="000000" w:themeColor="text1"/>
          <w:lang w:val="en-US" w:eastAsia="ko-KR"/>
        </w:rPr>
        <w:t xml:space="preserve">Option 1. </w:t>
      </w:r>
      <w:r>
        <w:rPr>
          <w:color w:val="000000" w:themeColor="text1"/>
          <w:lang w:val="en-US" w:eastAsia="ko-KR"/>
        </w:rPr>
        <w:t xml:space="preserve">CS-RNTI is the same one as the one previously configured in RRC_CONNECTED </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color w:val="000000" w:themeColor="text1"/>
          <w:lang w:val="en-US" w:eastAsia="ko-KR"/>
        </w:rPr>
        <w:t xml:space="preserve">Option 2. New CS-RNTI one is provided to the UE. </w:t>
      </w:r>
    </w:p>
    <w:p w:rsidR="00925400" w:rsidRDefault="002F1409">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We think this issue can be</w:t>
      </w:r>
      <w:r>
        <w:rPr>
          <w:color w:val="000000" w:themeColor="text1"/>
          <w:lang w:val="en-US" w:eastAsia="ko-KR"/>
        </w:rPr>
        <w:t xml:space="preserve"> compromised without the specification change.</w:t>
      </w:r>
    </w:p>
    <w:tbl>
      <w:tblPr>
        <w:tblStyle w:val="ab"/>
        <w:tblW w:w="0" w:type="auto"/>
        <w:tblLook w:val="04A0" w:firstRow="1" w:lastRow="0" w:firstColumn="1" w:lastColumn="0" w:noHBand="0" w:noVBand="1"/>
      </w:tblPr>
      <w:tblGrid>
        <w:gridCol w:w="9631"/>
      </w:tblGrid>
      <w:tr w:rsidR="00925400">
        <w:tc>
          <w:tcPr>
            <w:tcW w:w="9631" w:type="dxa"/>
          </w:tcPr>
          <w:p w:rsidR="00925400" w:rsidRDefault="002F1409">
            <w:pPr>
              <w:spacing w:before="120" w:after="120"/>
              <w:rPr>
                <w:color w:val="000000" w:themeColor="text1"/>
                <w:lang w:eastAsia="ko-KR"/>
              </w:rPr>
            </w:pPr>
            <w:r>
              <w:rPr>
                <w:rFonts w:hint="eastAsia"/>
                <w:color w:val="000000" w:themeColor="text1"/>
                <w:lang w:eastAsia="ko-KR"/>
              </w:rPr>
              <w:t>[38.331 V16.6.0]</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sz w:val="16"/>
                <w:lang w:eastAsia="en-GB"/>
              </w:rPr>
            </w:pPr>
            <w:r>
              <w:rPr>
                <w:rFonts w:ascii="Courier New" w:eastAsia="Times New Roman" w:hAnsi="Courier New"/>
                <w:noProof/>
                <w:sz w:val="16"/>
                <w:lang w:eastAsia="en-GB"/>
              </w:rPr>
              <w:t xml:space="preserve">PhysicalCellGroupConfig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harq-ACK-SpatialBundlingPUCCH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harq-ACK-SpatialBundlingPUSCH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p-NR-FR1                            P-Max         </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sz w:val="16"/>
                <w:lang w:eastAsia="en-GB"/>
              </w:rPr>
            </w:pPr>
            <w:r>
              <w:rPr>
                <w:rFonts w:ascii="Courier New" w:eastAsia="Times New Roman" w:hAnsi="Courier New"/>
                <w:noProof/>
                <w:sz w:val="16"/>
                <w:lang w:eastAsia="en-GB"/>
              </w:rPr>
              <w:t xml:space="preserve">    pdsch-HARQ-ACK-Codebook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{semiStatic, dynamic},</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tpc-SRS-RNTI                        RNTI-Value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tpc-PUCCH-RNTI                      RNTI-Value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tpc-PUSCH-RNTI                      RNTI-Value                                                      </w:t>
            </w:r>
            <w:r>
              <w:rPr>
                <w:rFonts w:ascii="Courier New" w:eastAsia="Times New Roman" w:hAnsi="Courier New"/>
                <w:noProof/>
                <w:color w:val="993366"/>
                <w:sz w:val="16"/>
                <w:lang w:eastAsia="en-GB"/>
              </w:rPr>
              <w:t>OPTI</w:t>
            </w:r>
            <w:r>
              <w:rPr>
                <w:rFonts w:ascii="Courier New" w:eastAsia="Times New Roman" w:hAnsi="Courier New"/>
                <w:noProof/>
                <w:color w:val="993366"/>
                <w:sz w:val="16"/>
                <w:lang w:eastAsia="en-GB"/>
              </w:rPr>
              <w:t>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sp-CSI-RNTI                         RNTI-Value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sz w:val="16"/>
                <w:highlight w:val="yellow"/>
                <w:lang w:eastAsia="en-GB"/>
              </w:rPr>
              <w:t xml:space="preserve">cs-RNTI                             SetupRelease { RNTI-Value }                                     </w:t>
            </w:r>
            <w:r>
              <w:rPr>
                <w:rFonts w:ascii="Courier New" w:eastAsia="Times New Roman" w:hAnsi="Courier New"/>
                <w:noProof/>
                <w:color w:val="993366"/>
                <w:sz w:val="16"/>
                <w:highlight w:val="yellow"/>
                <w:lang w:eastAsia="en-GB"/>
              </w:rPr>
              <w:t>OPTIONAL</w:t>
            </w:r>
            <w:r>
              <w:rPr>
                <w:rFonts w:ascii="Courier New" w:eastAsia="Times New Roman" w:hAnsi="Courier New"/>
                <w:noProof/>
                <w:sz w:val="16"/>
                <w:highlight w:val="yellow"/>
                <w:lang w:eastAsia="en-GB"/>
              </w:rPr>
              <w:t xml:space="preserve">,   </w:t>
            </w:r>
            <w:r>
              <w:rPr>
                <w:rFonts w:ascii="Courier New" w:eastAsia="Times New Roman" w:hAnsi="Courier New"/>
                <w:noProof/>
                <w:color w:val="808080"/>
                <w:sz w:val="16"/>
                <w:highlight w:val="yellow"/>
                <w:lang w:eastAsia="en-GB"/>
              </w:rPr>
              <w:t>-- Need M</w:t>
            </w:r>
          </w:p>
          <w:p w:rsidR="00925400" w:rsidRDefault="002F1409">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spacing w:after="0" w:line="240" w:lineRule="auto"/>
              <w:jc w:val="left"/>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rsidR="00925400" w:rsidRDefault="00925400">
            <w:pPr>
              <w:widowControl/>
              <w:overflowPunct w:val="0"/>
              <w:autoSpaceDE w:val="0"/>
              <w:autoSpaceDN w:val="0"/>
              <w:spacing w:line="240" w:lineRule="auto"/>
              <w:jc w:val="left"/>
              <w:rPr>
                <w:color w:val="000000" w:themeColor="text1"/>
                <w:lang w:eastAsia="ko-KR"/>
              </w:rPr>
            </w:pPr>
          </w:p>
        </w:tc>
      </w:tr>
    </w:tbl>
    <w:p w:rsidR="00925400" w:rsidRDefault="00925400">
      <w:pPr>
        <w:widowControl/>
        <w:adjustRightInd/>
        <w:spacing w:line="259" w:lineRule="auto"/>
        <w:jc w:val="left"/>
        <w:textAlignment w:val="auto"/>
        <w:rPr>
          <w:color w:val="000000" w:themeColor="text1"/>
          <w:lang w:val="en-US" w:eastAsia="ko-KR"/>
        </w:rPr>
      </w:pPr>
    </w:p>
    <w:p w:rsidR="00925400" w:rsidRDefault="002F1409">
      <w:pPr>
        <w:widowControl/>
        <w:adjustRightInd/>
        <w:spacing w:line="259" w:lineRule="auto"/>
        <w:jc w:val="left"/>
        <w:textAlignment w:val="auto"/>
        <w:rPr>
          <w:color w:val="000000" w:themeColor="text1"/>
          <w:lang w:val="en-US" w:eastAsia="ko-KR"/>
        </w:rPr>
      </w:pPr>
      <w:r>
        <w:rPr>
          <w:color w:val="000000" w:themeColor="text1"/>
          <w:lang w:val="en-US" w:eastAsia="ko-KR"/>
        </w:rPr>
        <w:t>Currently, i</w:t>
      </w:r>
      <w:r>
        <w:rPr>
          <w:rFonts w:hint="eastAsia"/>
          <w:color w:val="000000" w:themeColor="text1"/>
          <w:lang w:val="en-US" w:eastAsia="ko-KR"/>
        </w:rPr>
        <w:t xml:space="preserve">n the </w:t>
      </w:r>
      <w:r>
        <w:rPr>
          <w:color w:val="000000" w:themeColor="text1"/>
          <w:lang w:val="en-US" w:eastAsia="ko-KR"/>
        </w:rPr>
        <w:t xml:space="preserve">MAC </w:t>
      </w:r>
      <w:r>
        <w:rPr>
          <w:rFonts w:hint="eastAsia"/>
          <w:color w:val="000000" w:themeColor="text1"/>
          <w:lang w:val="en-US" w:eastAsia="ko-KR"/>
        </w:rPr>
        <w:t xml:space="preserve">specification, </w:t>
      </w:r>
      <w:r>
        <w:rPr>
          <w:color w:val="000000" w:themeColor="text1"/>
          <w:lang w:val="en-US" w:eastAsia="ko-KR"/>
        </w:rPr>
        <w:t>CS-RNTI is not released when the UE receives RRCRelease for RRC_INACTIVE</w:t>
      </w:r>
      <w:r>
        <w:rPr>
          <w:color w:val="000000" w:themeColor="text1"/>
          <w:lang w:val="en-US" w:eastAsia="ko-KR"/>
        </w:rPr>
        <w:t>,</w:t>
      </w:r>
      <w:r>
        <w:rPr>
          <w:color w:val="000000" w:themeColor="text1"/>
          <w:lang w:val="en-US" w:eastAsia="ko-KR"/>
        </w:rPr>
        <w:t xml:space="preserve"> and in </w:t>
      </w:r>
      <w:r w:rsidR="006F1118">
        <w:rPr>
          <w:color w:val="000000" w:themeColor="text1"/>
          <w:lang w:val="en-US" w:eastAsia="ko-KR"/>
        </w:rPr>
        <w:t xml:space="preserve">the </w:t>
      </w:r>
      <w:r>
        <w:rPr>
          <w:color w:val="000000" w:themeColor="text1"/>
          <w:lang w:val="en-US" w:eastAsia="ko-KR"/>
        </w:rPr>
        <w:t xml:space="preserve">RRC specification, the need code of CS-RNTI </w:t>
      </w:r>
      <w:r>
        <w:rPr>
          <w:color w:val="000000" w:themeColor="text1"/>
          <w:lang w:val="en-US" w:eastAsia="ko-KR"/>
        </w:rPr>
        <w:t xml:space="preserve">is </w:t>
      </w:r>
      <w:r>
        <w:rPr>
          <w:color w:val="000000" w:themeColor="text1"/>
          <w:lang w:val="en-US" w:eastAsia="ko-KR"/>
        </w:rPr>
        <w:t>set</w:t>
      </w:r>
      <w:r>
        <w:rPr>
          <w:color w:val="000000" w:themeColor="text1"/>
          <w:lang w:val="en-US" w:eastAsia="ko-KR"/>
        </w:rPr>
        <w:t xml:space="preserve"> to M. In other words, if the network does not provide a new CS-RNTI with the SDT configuration via RRCRelease, the UE maintains the CS-RNTI previously configured in RRC_CONNECTED and can use the CS-RNTI in SDT procedure. Therefore, we propose whether to p</w:t>
      </w:r>
      <w:r>
        <w:rPr>
          <w:color w:val="000000" w:themeColor="text1"/>
          <w:lang w:val="en-US" w:eastAsia="ko-KR"/>
        </w:rPr>
        <w:t xml:space="preserve">rovide new CS-RNTI or not is </w:t>
      </w:r>
      <w:r w:rsidR="006F1118">
        <w:rPr>
          <w:color w:val="000000" w:themeColor="text1"/>
          <w:lang w:val="en-US" w:eastAsia="ko-KR"/>
        </w:rPr>
        <w:t>up to</w:t>
      </w:r>
      <w:r w:rsidR="006F1118">
        <w:rPr>
          <w:color w:val="000000" w:themeColor="text1"/>
          <w:lang w:val="en-US" w:eastAsia="ko-KR"/>
        </w:rPr>
        <w:t xml:space="preserve"> </w:t>
      </w:r>
      <w:r>
        <w:rPr>
          <w:color w:val="000000" w:themeColor="text1"/>
          <w:lang w:val="en-US" w:eastAsia="ko-KR"/>
        </w:rPr>
        <w:t>network implementation.</w:t>
      </w:r>
    </w:p>
    <w:p w:rsidR="00925400" w:rsidRDefault="002F1409">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w:t>
      </w:r>
      <w:r>
        <w:rPr>
          <w:b/>
          <w:color w:val="000000" w:themeColor="text1"/>
          <w:lang w:val="en-US" w:eastAsia="ko-KR"/>
        </w:rPr>
        <w:t>2</w:t>
      </w:r>
      <w:r>
        <w:rPr>
          <w:b/>
          <w:color w:val="000000" w:themeColor="text1"/>
          <w:lang w:val="en-US" w:eastAsia="ko-KR"/>
        </w:rPr>
        <w:t xml:space="preserve">. Whether to provide new CS-RNTI or not is </w:t>
      </w:r>
      <w:r w:rsidR="006F1118">
        <w:rPr>
          <w:b/>
          <w:color w:val="000000" w:themeColor="text1"/>
          <w:lang w:val="en-US" w:eastAsia="ko-KR"/>
        </w:rPr>
        <w:t>up to</w:t>
      </w:r>
      <w:r w:rsidR="006F1118">
        <w:rPr>
          <w:b/>
          <w:color w:val="000000" w:themeColor="text1"/>
          <w:lang w:val="en-US" w:eastAsia="ko-KR"/>
        </w:rPr>
        <w:t xml:space="preserve"> </w:t>
      </w:r>
      <w:r>
        <w:rPr>
          <w:b/>
          <w:color w:val="000000" w:themeColor="text1"/>
          <w:lang w:val="en-US" w:eastAsia="ko-KR"/>
        </w:rPr>
        <w:t>network implementation.</w:t>
      </w:r>
    </w:p>
    <w:p w:rsidR="00925400" w:rsidRDefault="00925400">
      <w:pPr>
        <w:widowControl/>
        <w:adjustRightInd/>
        <w:spacing w:line="259" w:lineRule="auto"/>
        <w:jc w:val="left"/>
        <w:textAlignment w:val="auto"/>
        <w:rPr>
          <w:color w:val="000000" w:themeColor="text1"/>
          <w:lang w:val="en-US" w:eastAsia="ko-KR"/>
        </w:rPr>
      </w:pPr>
    </w:p>
    <w:p w:rsidR="00925400" w:rsidRDefault="002F1409">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In RAN2#115-e, RAN2 agreed that </w:t>
      </w:r>
      <w:r>
        <w:rPr>
          <w:color w:val="000000" w:themeColor="text1"/>
          <w:lang w:val="en-US" w:eastAsia="ko-KR"/>
        </w:rPr>
        <w:t>UE re-evaluates the SSB for subsequent phase of CG-SDT. However, there are diverged view</w:t>
      </w:r>
      <w:r>
        <w:rPr>
          <w:color w:val="000000" w:themeColor="text1"/>
          <w:lang w:val="en-US" w:eastAsia="ko-KR"/>
        </w:rPr>
        <w:t xml:space="preserve"> on the cases where no SSBs are valid or where no sample is available as follows. </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color w:val="000000" w:themeColor="text1"/>
          <w:lang w:val="en-US" w:eastAsia="ko-KR"/>
        </w:rPr>
        <w:t>Option 1: Trigger the legacy RACH due to no UL resources (i.e. no CG based UL grant is provided to the HARQ process and SR/RACH will be triggered due to lack of UL resources</w:t>
      </w:r>
      <w:r>
        <w:rPr>
          <w:color w:val="000000" w:themeColor="text1"/>
          <w:lang w:val="en-US" w:eastAsia="ko-KR"/>
        </w:rPr>
        <w:t>)</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color w:val="000000" w:themeColor="text1"/>
          <w:lang w:val="en-US" w:eastAsia="ko-KR"/>
        </w:rPr>
        <w:t>Option 2: Use any SSB (similar to RACH retransmission case)</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color w:val="000000" w:themeColor="text1"/>
          <w:lang w:val="en-US" w:eastAsia="ko-KR"/>
        </w:rPr>
        <w:t>Option 3: Others (please explain)</w:t>
      </w:r>
    </w:p>
    <w:p w:rsidR="00925400" w:rsidRDefault="00925400">
      <w:pPr>
        <w:widowControl/>
        <w:adjustRightInd/>
        <w:spacing w:line="259" w:lineRule="auto"/>
        <w:jc w:val="left"/>
        <w:textAlignment w:val="auto"/>
        <w:rPr>
          <w:color w:val="000000" w:themeColor="text1"/>
          <w:lang w:val="en-US" w:eastAsia="ko-KR"/>
        </w:rPr>
      </w:pPr>
    </w:p>
    <w:p w:rsidR="00925400" w:rsidRDefault="002F1409">
      <w:pPr>
        <w:widowControl/>
        <w:adjustRightInd/>
        <w:spacing w:line="259" w:lineRule="auto"/>
        <w:jc w:val="left"/>
        <w:textAlignment w:val="auto"/>
        <w:rPr>
          <w:color w:val="000000" w:themeColor="text1"/>
          <w:lang w:val="en-US" w:eastAsia="ko-KR"/>
        </w:rPr>
      </w:pPr>
      <w:r>
        <w:rPr>
          <w:color w:val="000000" w:themeColor="text1"/>
          <w:lang w:val="en-US" w:eastAsia="ko-KR"/>
        </w:rPr>
        <w:lastRenderedPageBreak/>
        <w:t>We think the SDT failure handling procedure should be triggered when no SSBs are valid in the subsequent phase of CG-SDT. The SDT failure handling procedure ma</w:t>
      </w:r>
      <w:r>
        <w:rPr>
          <w:color w:val="000000" w:themeColor="text1"/>
          <w:lang w:val="en-US" w:eastAsia="ko-KR"/>
        </w:rPr>
        <w:t xml:space="preserve">y trigger legacy RA procedure to transmit the pending UL data. </w:t>
      </w:r>
    </w:p>
    <w:p w:rsidR="00925400" w:rsidRDefault="002F1409">
      <w:pPr>
        <w:widowControl/>
        <w:adjustRightInd/>
        <w:spacing w:line="259" w:lineRule="auto"/>
        <w:jc w:val="left"/>
        <w:textAlignment w:val="auto"/>
        <w:rPr>
          <w:color w:val="000000" w:themeColor="text1"/>
          <w:lang w:val="en-US" w:eastAsia="ko-KR"/>
        </w:rPr>
      </w:pPr>
      <w:r>
        <w:rPr>
          <w:color w:val="000000" w:themeColor="text1"/>
          <w:lang w:val="en-US" w:eastAsia="ko-KR"/>
        </w:rPr>
        <w:t>For Option 1, we think the legacy RA procedure is not a part of SDT procedure, and thus the ongoing SDT procedure should be stopped. In addition, we think that legacy RA does not always ensure</w:t>
      </w:r>
      <w:r>
        <w:rPr>
          <w:color w:val="000000" w:themeColor="text1"/>
          <w:lang w:val="en-US" w:eastAsia="ko-KR"/>
        </w:rPr>
        <w:t xml:space="preserve"> better results. For Option 2, we are not sure whether CG-SD</w:t>
      </w:r>
      <w:r>
        <w:rPr>
          <w:color w:val="000000" w:themeColor="text1"/>
          <w:lang w:val="en-US" w:eastAsia="ko-KR"/>
        </w:rPr>
        <w:t>T</w:t>
      </w:r>
      <w:r>
        <w:rPr>
          <w:color w:val="000000" w:themeColor="text1"/>
          <w:lang w:val="en-US" w:eastAsia="ko-KR"/>
        </w:rPr>
        <w:t xml:space="preserve"> can succeed by using any SSB that does not me</w:t>
      </w:r>
      <w:r>
        <w:rPr>
          <w:color w:val="000000" w:themeColor="text1"/>
          <w:lang w:val="en-US" w:eastAsia="ko-KR"/>
        </w:rPr>
        <w:t>e</w:t>
      </w:r>
      <w:r>
        <w:rPr>
          <w:color w:val="000000" w:themeColor="text1"/>
          <w:lang w:val="en-US" w:eastAsia="ko-KR"/>
        </w:rPr>
        <w:t>t CG-SDT threshold, i.e., TA validity and RSRP change threshold.</w:t>
      </w:r>
    </w:p>
    <w:p w:rsidR="00925400" w:rsidRDefault="002F1409">
      <w:pPr>
        <w:widowControl/>
        <w:adjustRightInd/>
        <w:spacing w:line="259" w:lineRule="auto"/>
        <w:jc w:val="left"/>
        <w:textAlignment w:val="auto"/>
        <w:rPr>
          <w:color w:val="000000" w:themeColor="text1"/>
          <w:lang w:val="en-US" w:eastAsia="ko-KR"/>
        </w:rPr>
      </w:pPr>
      <w:r>
        <w:rPr>
          <w:color w:val="000000" w:themeColor="text1"/>
          <w:lang w:val="en-US" w:eastAsia="ko-KR"/>
        </w:rPr>
        <w:t xml:space="preserve">Therefore, we propose to trigger </w:t>
      </w:r>
      <w:r>
        <w:rPr>
          <w:color w:val="000000" w:themeColor="text1"/>
          <w:lang w:val="en-US" w:eastAsia="ko-KR"/>
        </w:rPr>
        <w:t>t</w:t>
      </w:r>
      <w:r>
        <w:rPr>
          <w:color w:val="000000" w:themeColor="text1"/>
          <w:lang w:val="en-US" w:eastAsia="ko-KR"/>
        </w:rPr>
        <w:t>he SDT failure handling procedure when no SSBs</w:t>
      </w:r>
      <w:r>
        <w:rPr>
          <w:color w:val="000000" w:themeColor="text1"/>
          <w:lang w:val="en-US" w:eastAsia="ko-KR"/>
        </w:rPr>
        <w:t xml:space="preserve"> are valid </w:t>
      </w:r>
      <w:r>
        <w:rPr>
          <w:color w:val="000000" w:themeColor="text1"/>
          <w:lang w:val="en-US" w:eastAsia="ko-KR"/>
        </w:rPr>
        <w:t xml:space="preserve">during </w:t>
      </w:r>
      <w:r>
        <w:rPr>
          <w:color w:val="000000" w:themeColor="text1"/>
          <w:lang w:val="en-US" w:eastAsia="ko-KR"/>
        </w:rPr>
        <w:t>the subsequent phase of CG-SDT.</w:t>
      </w:r>
    </w:p>
    <w:p w:rsidR="00925400" w:rsidRDefault="002F1409">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w:t>
      </w:r>
      <w:r>
        <w:rPr>
          <w:b/>
          <w:color w:val="000000" w:themeColor="text1"/>
          <w:lang w:val="en-US" w:eastAsia="ko-KR"/>
        </w:rPr>
        <w:t>3</w:t>
      </w:r>
      <w:r>
        <w:rPr>
          <w:rFonts w:hint="eastAsia"/>
          <w:b/>
          <w:color w:val="000000" w:themeColor="text1"/>
          <w:lang w:val="en-US" w:eastAsia="ko-KR"/>
        </w:rPr>
        <w:t xml:space="preserve">. </w:t>
      </w:r>
      <w:r>
        <w:rPr>
          <w:b/>
          <w:color w:val="000000" w:themeColor="text1"/>
          <w:lang w:val="en-US" w:eastAsia="ko-KR"/>
        </w:rPr>
        <w:t xml:space="preserve">The UE triggers the SDT failure handling procedure when no SSBs are valid </w:t>
      </w:r>
      <w:r>
        <w:rPr>
          <w:b/>
          <w:color w:val="000000" w:themeColor="text1"/>
          <w:lang w:val="en-US" w:eastAsia="ko-KR"/>
        </w:rPr>
        <w:t xml:space="preserve">during </w:t>
      </w:r>
      <w:r>
        <w:rPr>
          <w:b/>
          <w:color w:val="000000" w:themeColor="text1"/>
          <w:lang w:val="en-US" w:eastAsia="ko-KR"/>
        </w:rPr>
        <w:t>the subsequent phase of CG-SDT.</w:t>
      </w:r>
    </w:p>
    <w:p w:rsidR="00925400" w:rsidRDefault="00925400">
      <w:pPr>
        <w:widowControl/>
        <w:adjustRightInd/>
        <w:spacing w:line="259" w:lineRule="auto"/>
        <w:jc w:val="left"/>
        <w:textAlignment w:val="auto"/>
        <w:rPr>
          <w:color w:val="000000" w:themeColor="text1"/>
          <w:lang w:val="en-US" w:eastAsia="ko-KR"/>
        </w:rPr>
      </w:pPr>
    </w:p>
    <w:p w:rsidR="00925400" w:rsidRDefault="002F1409">
      <w:pPr>
        <w:widowControl/>
        <w:adjustRightInd/>
        <w:spacing w:line="259" w:lineRule="auto"/>
        <w:jc w:val="left"/>
        <w:textAlignment w:val="auto"/>
        <w:rPr>
          <w:color w:val="000000" w:themeColor="text1"/>
          <w:lang w:val="en-US" w:eastAsia="ko-KR"/>
        </w:rPr>
      </w:pPr>
      <w:r>
        <w:rPr>
          <w:rFonts w:hint="eastAsia"/>
          <w:color w:val="000000" w:themeColor="text1"/>
          <w:lang w:val="en-US" w:eastAsia="ko-KR"/>
        </w:rPr>
        <w:t xml:space="preserve">Last, </w:t>
      </w:r>
      <w:r>
        <w:rPr>
          <w:color w:val="000000" w:themeColor="text1"/>
          <w:lang w:val="en-US" w:eastAsia="ko-KR"/>
        </w:rPr>
        <w:t>RAN2 agreed to configure the following parameters in the CG-SDT configura</w:t>
      </w:r>
      <w:r>
        <w:rPr>
          <w:color w:val="000000" w:themeColor="text1"/>
          <w:lang w:val="en-US" w:eastAsia="ko-KR"/>
        </w:rPr>
        <w:t xml:space="preserve">tion, and it </w:t>
      </w:r>
      <w:r>
        <w:rPr>
          <w:color w:val="000000" w:themeColor="text1"/>
          <w:lang w:val="en-US" w:eastAsia="ko-KR"/>
        </w:rPr>
        <w:t xml:space="preserve">is </w:t>
      </w:r>
      <w:r>
        <w:rPr>
          <w:color w:val="000000" w:themeColor="text1"/>
          <w:lang w:val="en-US" w:eastAsia="ko-KR"/>
        </w:rPr>
        <w:t>remained as FFS whether these parameters are common for multiple CG-SDT configurations or per CG-SDT configuration.</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color w:val="000000" w:themeColor="text1"/>
          <w:lang w:val="en-US" w:eastAsia="ko-KR"/>
        </w:rPr>
        <w:t>The new TA timer in RRC_INACTIVE</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color w:val="000000" w:themeColor="text1"/>
          <w:lang w:val="en-US" w:eastAsia="ko-KR"/>
        </w:rPr>
        <w:t xml:space="preserve">The RSRP change threshold for TA validation mechanism in SDT </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color w:val="000000" w:themeColor="text1"/>
          <w:lang w:val="en-US" w:eastAsia="ko-KR"/>
        </w:rPr>
        <w:t>The SSB RSRP threshold for be</w:t>
      </w:r>
      <w:r>
        <w:rPr>
          <w:color w:val="000000" w:themeColor="text1"/>
          <w:lang w:val="en-US" w:eastAsia="ko-KR"/>
        </w:rPr>
        <w:t xml:space="preserve">am selection </w:t>
      </w:r>
    </w:p>
    <w:p w:rsidR="00925400" w:rsidRDefault="002F1409">
      <w:pPr>
        <w:widowControl/>
        <w:adjustRightInd/>
        <w:spacing w:line="259" w:lineRule="auto"/>
        <w:jc w:val="left"/>
        <w:textAlignment w:val="auto"/>
        <w:rPr>
          <w:color w:val="000000" w:themeColor="text1"/>
          <w:lang w:val="en-US" w:eastAsia="ko-KR"/>
        </w:rPr>
      </w:pPr>
      <w:r>
        <w:rPr>
          <w:color w:val="000000" w:themeColor="text1"/>
          <w:lang w:val="en-US" w:eastAsia="ko-KR"/>
        </w:rPr>
        <w:t>In the current specification, TAT is configured per TAG configuration. Since SDT operates on only PCell, there is no other TAG. Thus, we think the new TAT would be configured in common for multiple CG-SDT configuration. In addition, w</w:t>
      </w:r>
      <w:r>
        <w:rPr>
          <w:rFonts w:hint="eastAsia"/>
          <w:color w:val="000000" w:themeColor="text1"/>
          <w:lang w:val="en-US" w:eastAsia="ko-KR"/>
        </w:rPr>
        <w:t xml:space="preserve">e think </w:t>
      </w:r>
      <w:r>
        <w:rPr>
          <w:rFonts w:hint="eastAsia"/>
          <w:color w:val="000000" w:themeColor="text1"/>
          <w:lang w:val="en-US" w:eastAsia="ko-KR"/>
        </w:rPr>
        <w:t xml:space="preserve">that there is no reason to configure these parameter </w:t>
      </w:r>
      <w:r>
        <w:rPr>
          <w:color w:val="000000" w:themeColor="text1"/>
          <w:lang w:val="en-US" w:eastAsia="ko-KR"/>
        </w:rPr>
        <w:t>in</w:t>
      </w:r>
      <w:r>
        <w:rPr>
          <w:color w:val="000000" w:themeColor="text1"/>
          <w:lang w:val="en-US" w:eastAsia="ko-KR"/>
        </w:rPr>
        <w:t xml:space="preserve"> </w:t>
      </w:r>
      <w:r>
        <w:rPr>
          <w:rFonts w:hint="eastAsia"/>
          <w:color w:val="000000" w:themeColor="text1"/>
          <w:lang w:val="en-US" w:eastAsia="ko-KR"/>
        </w:rPr>
        <w:t>different</w:t>
      </w:r>
      <w:r>
        <w:rPr>
          <w:color w:val="000000" w:themeColor="text1"/>
          <w:lang w:val="en-US" w:eastAsia="ko-KR"/>
        </w:rPr>
        <w:t xml:space="preserve"> way, i.e., single method seems sufficient. Thus, we propose to configure these parameters in common for multiple CG-SDT configuration.</w:t>
      </w:r>
    </w:p>
    <w:p w:rsidR="00925400" w:rsidRDefault="002F1409">
      <w:pPr>
        <w:widowControl/>
        <w:adjustRightInd/>
        <w:spacing w:line="259" w:lineRule="auto"/>
        <w:jc w:val="left"/>
        <w:textAlignment w:val="auto"/>
        <w:rPr>
          <w:b/>
          <w:color w:val="000000" w:themeColor="text1"/>
          <w:lang w:val="en-US" w:eastAsia="ko-KR"/>
        </w:rPr>
      </w:pPr>
      <w:r>
        <w:rPr>
          <w:b/>
          <w:color w:val="000000" w:themeColor="text1"/>
          <w:lang w:val="en-US" w:eastAsia="ko-KR"/>
        </w:rPr>
        <w:t xml:space="preserve">Proposal </w:t>
      </w:r>
      <w:r>
        <w:rPr>
          <w:b/>
          <w:color w:val="000000" w:themeColor="text1"/>
          <w:lang w:val="en-US" w:eastAsia="ko-KR"/>
        </w:rPr>
        <w:t>4</w:t>
      </w:r>
      <w:r>
        <w:rPr>
          <w:b/>
          <w:color w:val="000000" w:themeColor="text1"/>
          <w:lang w:val="en-US" w:eastAsia="ko-KR"/>
        </w:rPr>
        <w:t xml:space="preserve">. The following parameters are configured </w:t>
      </w:r>
      <w:r>
        <w:rPr>
          <w:b/>
          <w:color w:val="000000" w:themeColor="text1"/>
          <w:lang w:val="en-US" w:eastAsia="ko-KR"/>
        </w:rPr>
        <w:t>in common for multiple CG-SDT configuration</w:t>
      </w:r>
    </w:p>
    <w:p w:rsidR="00925400" w:rsidRDefault="002F1409">
      <w:pPr>
        <w:pStyle w:val="ac"/>
        <w:widowControl/>
        <w:numPr>
          <w:ilvl w:val="0"/>
          <w:numId w:val="40"/>
        </w:numPr>
        <w:adjustRightInd/>
        <w:spacing w:line="259" w:lineRule="auto"/>
        <w:ind w:leftChars="0"/>
        <w:jc w:val="left"/>
        <w:textAlignment w:val="auto"/>
        <w:rPr>
          <w:b/>
          <w:color w:val="000000" w:themeColor="text1"/>
          <w:lang w:val="en-US" w:eastAsia="ko-KR"/>
        </w:rPr>
      </w:pPr>
      <w:r>
        <w:rPr>
          <w:b/>
          <w:color w:val="000000" w:themeColor="text1"/>
          <w:lang w:val="en-US" w:eastAsia="ko-KR"/>
        </w:rPr>
        <w:t>The new TA timer in RRC_INACTIVE</w:t>
      </w:r>
    </w:p>
    <w:p w:rsidR="00925400" w:rsidRDefault="002F1409">
      <w:pPr>
        <w:pStyle w:val="ac"/>
        <w:widowControl/>
        <w:numPr>
          <w:ilvl w:val="0"/>
          <w:numId w:val="40"/>
        </w:numPr>
        <w:adjustRightInd/>
        <w:spacing w:line="259" w:lineRule="auto"/>
        <w:ind w:leftChars="0"/>
        <w:jc w:val="left"/>
        <w:textAlignment w:val="auto"/>
        <w:rPr>
          <w:b/>
          <w:color w:val="000000" w:themeColor="text1"/>
          <w:lang w:val="en-US" w:eastAsia="ko-KR"/>
        </w:rPr>
      </w:pPr>
      <w:r>
        <w:rPr>
          <w:b/>
          <w:color w:val="000000" w:themeColor="text1"/>
          <w:lang w:val="en-US" w:eastAsia="ko-KR"/>
        </w:rPr>
        <w:t xml:space="preserve">The RSRP change threshold for TA validation mechanism in SDT </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b/>
          <w:color w:val="000000" w:themeColor="text1"/>
          <w:lang w:val="en-US" w:eastAsia="ko-KR"/>
        </w:rPr>
        <w:t>The SSB RSRP threshold for beam selection</w:t>
      </w:r>
    </w:p>
    <w:p w:rsidR="00925400" w:rsidRDefault="00925400">
      <w:pPr>
        <w:rPr>
          <w:color w:val="000000" w:themeColor="text1"/>
          <w:lang w:val="en-US" w:eastAsia="ko-KR"/>
        </w:rPr>
      </w:pPr>
    </w:p>
    <w:p w:rsidR="00925400" w:rsidRDefault="002F1409">
      <w:pPr>
        <w:pStyle w:val="1"/>
        <w:rPr>
          <w:color w:val="000000" w:themeColor="text1"/>
          <w:lang w:val="en-US"/>
        </w:rPr>
      </w:pPr>
      <w:r>
        <w:rPr>
          <w:color w:val="000000" w:themeColor="text1"/>
          <w:lang w:val="en-US"/>
        </w:rPr>
        <w:t>3.</w:t>
      </w:r>
      <w:r>
        <w:rPr>
          <w:color w:val="000000" w:themeColor="text1"/>
          <w:lang w:val="en-US"/>
        </w:rPr>
        <w:tab/>
        <w:t>Conclusion</w:t>
      </w:r>
    </w:p>
    <w:p w:rsidR="00925400" w:rsidRDefault="002F1409">
      <w:pPr>
        <w:rPr>
          <w:color w:val="000000" w:themeColor="text1"/>
          <w:lang w:eastAsia="ko-KR"/>
        </w:rPr>
      </w:pPr>
      <w:r>
        <w:rPr>
          <w:color w:val="000000" w:themeColor="text1"/>
          <w:lang w:val="en-US" w:eastAsia="ko-KR"/>
        </w:rPr>
        <w:t xml:space="preserve">In this document, we discuss the remained FFS for CG-SDT, </w:t>
      </w:r>
      <w:r>
        <w:rPr>
          <w:color w:val="000000" w:themeColor="text1"/>
          <w:lang w:eastAsia="ko-KR"/>
        </w:rPr>
        <w:t>and made proposals as following.</w:t>
      </w:r>
    </w:p>
    <w:p w:rsidR="00925400" w:rsidRDefault="002F1409">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1: </w:t>
      </w:r>
      <w:r>
        <w:rPr>
          <w:b/>
          <w:color w:val="000000" w:themeColor="text1"/>
          <w:lang w:val="en-US" w:eastAsia="ko-KR"/>
        </w:rPr>
        <w:t>Switching from CG-SDT to RA-SDT is not supported.</w:t>
      </w:r>
    </w:p>
    <w:p w:rsidR="00925400" w:rsidRDefault="002F1409">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w:t>
      </w:r>
      <w:r>
        <w:rPr>
          <w:b/>
          <w:color w:val="000000" w:themeColor="text1"/>
          <w:lang w:val="en-US" w:eastAsia="ko-KR"/>
        </w:rPr>
        <w:t>2</w:t>
      </w:r>
      <w:r>
        <w:rPr>
          <w:b/>
          <w:color w:val="000000" w:themeColor="text1"/>
          <w:lang w:val="en-US" w:eastAsia="ko-KR"/>
        </w:rPr>
        <w:t xml:space="preserve">. Whether to provide new CS-RNTI or not is </w:t>
      </w:r>
      <w:r w:rsidR="006F1118">
        <w:rPr>
          <w:b/>
          <w:color w:val="000000" w:themeColor="text1"/>
          <w:lang w:val="en-US" w:eastAsia="ko-KR"/>
        </w:rPr>
        <w:t>up to</w:t>
      </w:r>
      <w:r w:rsidR="006F1118">
        <w:rPr>
          <w:b/>
          <w:color w:val="000000" w:themeColor="text1"/>
          <w:lang w:val="en-US" w:eastAsia="ko-KR"/>
        </w:rPr>
        <w:t xml:space="preserve"> </w:t>
      </w:r>
      <w:r>
        <w:rPr>
          <w:b/>
          <w:color w:val="000000" w:themeColor="text1"/>
          <w:lang w:val="en-US" w:eastAsia="ko-KR"/>
        </w:rPr>
        <w:t>network implementation.</w:t>
      </w:r>
    </w:p>
    <w:p w:rsidR="00925400" w:rsidRDefault="002F1409">
      <w:pPr>
        <w:widowControl/>
        <w:adjustRightInd/>
        <w:spacing w:line="259" w:lineRule="auto"/>
        <w:jc w:val="left"/>
        <w:textAlignment w:val="auto"/>
        <w:rPr>
          <w:b/>
          <w:color w:val="000000" w:themeColor="text1"/>
          <w:lang w:val="en-US" w:eastAsia="ko-KR"/>
        </w:rPr>
      </w:pPr>
      <w:r>
        <w:rPr>
          <w:rFonts w:hint="eastAsia"/>
          <w:b/>
          <w:color w:val="000000" w:themeColor="text1"/>
          <w:lang w:val="en-US" w:eastAsia="ko-KR"/>
        </w:rPr>
        <w:t xml:space="preserve">Proposal </w:t>
      </w:r>
      <w:r>
        <w:rPr>
          <w:b/>
          <w:color w:val="000000" w:themeColor="text1"/>
          <w:lang w:val="en-US" w:eastAsia="ko-KR"/>
        </w:rPr>
        <w:t>3</w:t>
      </w:r>
      <w:r>
        <w:rPr>
          <w:rFonts w:hint="eastAsia"/>
          <w:b/>
          <w:color w:val="000000" w:themeColor="text1"/>
          <w:lang w:val="en-US" w:eastAsia="ko-KR"/>
        </w:rPr>
        <w:t xml:space="preserve">. </w:t>
      </w:r>
      <w:r>
        <w:rPr>
          <w:b/>
          <w:color w:val="000000" w:themeColor="text1"/>
          <w:lang w:val="en-US" w:eastAsia="ko-KR"/>
        </w:rPr>
        <w:t>The UE triggers the SDT failure handling procedure when no SSBs</w:t>
      </w:r>
      <w:r>
        <w:rPr>
          <w:b/>
          <w:color w:val="000000" w:themeColor="text1"/>
          <w:lang w:val="en-US" w:eastAsia="ko-KR"/>
        </w:rPr>
        <w:t xml:space="preserve"> are valid </w:t>
      </w:r>
      <w:r>
        <w:rPr>
          <w:b/>
          <w:color w:val="000000" w:themeColor="text1"/>
          <w:lang w:val="en-US" w:eastAsia="ko-KR"/>
        </w:rPr>
        <w:t xml:space="preserve">during </w:t>
      </w:r>
      <w:r>
        <w:rPr>
          <w:b/>
          <w:color w:val="000000" w:themeColor="text1"/>
          <w:lang w:val="en-US" w:eastAsia="ko-KR"/>
        </w:rPr>
        <w:t>the subsequent phase of CG-SDT.</w:t>
      </w:r>
    </w:p>
    <w:p w:rsidR="00925400" w:rsidRDefault="002F1409">
      <w:pPr>
        <w:widowControl/>
        <w:adjustRightInd/>
        <w:spacing w:line="259" w:lineRule="auto"/>
        <w:jc w:val="left"/>
        <w:textAlignment w:val="auto"/>
        <w:rPr>
          <w:b/>
          <w:color w:val="000000" w:themeColor="text1"/>
          <w:lang w:val="en-US" w:eastAsia="ko-KR"/>
        </w:rPr>
      </w:pPr>
      <w:r>
        <w:rPr>
          <w:b/>
          <w:color w:val="000000" w:themeColor="text1"/>
          <w:lang w:val="en-US" w:eastAsia="ko-KR"/>
        </w:rPr>
        <w:t xml:space="preserve">Proposal </w:t>
      </w:r>
      <w:r>
        <w:rPr>
          <w:b/>
          <w:color w:val="000000" w:themeColor="text1"/>
          <w:lang w:val="en-US" w:eastAsia="ko-KR"/>
        </w:rPr>
        <w:t>4</w:t>
      </w:r>
      <w:r>
        <w:rPr>
          <w:b/>
          <w:color w:val="000000" w:themeColor="text1"/>
          <w:lang w:val="en-US" w:eastAsia="ko-KR"/>
        </w:rPr>
        <w:t>. The following parameters are configured in common for multiple CG-SDT configuration</w:t>
      </w:r>
    </w:p>
    <w:p w:rsidR="00925400" w:rsidRDefault="002F1409">
      <w:pPr>
        <w:pStyle w:val="ac"/>
        <w:widowControl/>
        <w:numPr>
          <w:ilvl w:val="0"/>
          <w:numId w:val="40"/>
        </w:numPr>
        <w:adjustRightInd/>
        <w:spacing w:line="259" w:lineRule="auto"/>
        <w:ind w:leftChars="0"/>
        <w:jc w:val="left"/>
        <w:textAlignment w:val="auto"/>
        <w:rPr>
          <w:b/>
          <w:color w:val="000000" w:themeColor="text1"/>
          <w:lang w:val="en-US" w:eastAsia="ko-KR"/>
        </w:rPr>
      </w:pPr>
      <w:r>
        <w:rPr>
          <w:b/>
          <w:color w:val="000000" w:themeColor="text1"/>
          <w:lang w:val="en-US" w:eastAsia="ko-KR"/>
        </w:rPr>
        <w:t>The new TA timer in RRC_INACTIVE</w:t>
      </w:r>
    </w:p>
    <w:p w:rsidR="00925400" w:rsidRDefault="002F1409">
      <w:pPr>
        <w:pStyle w:val="ac"/>
        <w:widowControl/>
        <w:numPr>
          <w:ilvl w:val="0"/>
          <w:numId w:val="40"/>
        </w:numPr>
        <w:adjustRightInd/>
        <w:spacing w:line="259" w:lineRule="auto"/>
        <w:ind w:leftChars="0"/>
        <w:jc w:val="left"/>
        <w:textAlignment w:val="auto"/>
        <w:rPr>
          <w:b/>
          <w:color w:val="000000" w:themeColor="text1"/>
          <w:lang w:val="en-US" w:eastAsia="ko-KR"/>
        </w:rPr>
      </w:pPr>
      <w:r>
        <w:rPr>
          <w:b/>
          <w:color w:val="000000" w:themeColor="text1"/>
          <w:lang w:val="en-US" w:eastAsia="ko-KR"/>
        </w:rPr>
        <w:t xml:space="preserve">The RSRP change threshold for TA validation mechanism in SDT </w:t>
      </w:r>
    </w:p>
    <w:p w:rsidR="00925400" w:rsidRDefault="002F1409">
      <w:pPr>
        <w:pStyle w:val="ac"/>
        <w:widowControl/>
        <w:numPr>
          <w:ilvl w:val="0"/>
          <w:numId w:val="40"/>
        </w:numPr>
        <w:adjustRightInd/>
        <w:spacing w:line="259" w:lineRule="auto"/>
        <w:ind w:leftChars="0"/>
        <w:jc w:val="left"/>
        <w:textAlignment w:val="auto"/>
        <w:rPr>
          <w:color w:val="000000" w:themeColor="text1"/>
          <w:lang w:val="en-US" w:eastAsia="ko-KR"/>
        </w:rPr>
      </w:pPr>
      <w:r>
        <w:rPr>
          <w:b/>
          <w:color w:val="000000" w:themeColor="text1"/>
          <w:lang w:val="en-US" w:eastAsia="ko-KR"/>
        </w:rPr>
        <w:t>The SSB RSRP t</w:t>
      </w:r>
      <w:r>
        <w:rPr>
          <w:b/>
          <w:color w:val="000000" w:themeColor="text1"/>
          <w:lang w:val="en-US" w:eastAsia="ko-KR"/>
        </w:rPr>
        <w:t>hreshold for beam selection</w:t>
      </w:r>
    </w:p>
    <w:p w:rsidR="00925400" w:rsidRDefault="00925400">
      <w:pPr>
        <w:rPr>
          <w:color w:val="000000" w:themeColor="text1"/>
          <w:lang w:val="en-US" w:eastAsia="ko-KR"/>
        </w:rPr>
      </w:pPr>
    </w:p>
    <w:p w:rsidR="00925400" w:rsidRDefault="002F1409">
      <w:pPr>
        <w:pStyle w:val="1"/>
        <w:rPr>
          <w:rFonts w:cs="Arial"/>
          <w:color w:val="000000" w:themeColor="text1"/>
        </w:rPr>
      </w:pPr>
      <w:r>
        <w:rPr>
          <w:color w:val="000000" w:themeColor="text1"/>
          <w:lang w:val="en-US"/>
        </w:rPr>
        <w:lastRenderedPageBreak/>
        <w:t>4.</w:t>
      </w:r>
      <w:r>
        <w:rPr>
          <w:color w:val="000000" w:themeColor="text1"/>
          <w:lang w:val="en-US"/>
        </w:rPr>
        <w:tab/>
        <w:t>Reference</w:t>
      </w:r>
    </w:p>
    <w:p w:rsidR="00925400" w:rsidRDefault="006F1118">
      <w:pPr>
        <w:numPr>
          <w:ilvl w:val="0"/>
          <w:numId w:val="9"/>
        </w:numPr>
        <w:spacing w:after="0" w:line="240" w:lineRule="auto"/>
        <w:rPr>
          <w:color w:val="000000" w:themeColor="text1"/>
          <w:lang w:val="en-US" w:eastAsia="ko-KR"/>
        </w:rPr>
      </w:pPr>
      <w:r w:rsidRPr="00C1685E">
        <w:rPr>
          <w:color w:val="000000" w:themeColor="text1"/>
          <w:lang w:val="en-US" w:eastAsia="ko-KR"/>
        </w:rPr>
        <w:t>R2-2110983</w:t>
      </w:r>
      <w:r w:rsidR="002F1409">
        <w:rPr>
          <w:color w:val="000000" w:themeColor="text1"/>
          <w:lang w:val="en-US" w:eastAsia="ko-KR"/>
        </w:rPr>
        <w:tab/>
        <w:t>Switching cases of SDT and non-SDT</w:t>
      </w:r>
      <w:r w:rsidR="002F1409">
        <w:rPr>
          <w:color w:val="000000" w:themeColor="text1"/>
          <w:lang w:val="en-US" w:eastAsia="ko-KR"/>
        </w:rPr>
        <w:tab/>
      </w:r>
      <w:r w:rsidR="002F1409">
        <w:rPr>
          <w:color w:val="000000" w:themeColor="text1"/>
          <w:lang w:val="en-US" w:eastAsia="ko-KR"/>
        </w:rPr>
        <w:tab/>
        <w:t>LG electronics Inc.</w:t>
      </w:r>
    </w:p>
    <w:p w:rsidR="00925400" w:rsidRDefault="00925400">
      <w:pPr>
        <w:spacing w:after="0" w:line="240" w:lineRule="auto"/>
        <w:ind w:left="360"/>
        <w:rPr>
          <w:color w:val="000000" w:themeColor="text1"/>
          <w:lang w:val="en-US" w:eastAsia="ko-KR"/>
        </w:rPr>
      </w:pPr>
    </w:p>
    <w:sectPr w:rsidR="00925400">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409" w:rsidRDefault="002F1409">
      <w:pPr>
        <w:spacing w:after="0" w:line="240" w:lineRule="auto"/>
      </w:pPr>
      <w:r>
        <w:separator/>
      </w:r>
    </w:p>
  </w:endnote>
  <w:endnote w:type="continuationSeparator" w:id="0">
    <w:p w:rsidR="002F1409" w:rsidRDefault="002F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00" w:rsidRDefault="002F140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925400" w:rsidRDefault="0092540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00" w:rsidRDefault="002F140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7A22C3">
      <w:rPr>
        <w:rStyle w:val="a9"/>
        <w:noProof/>
      </w:rPr>
      <w:t>1</w:t>
    </w:r>
    <w:r>
      <w:rPr>
        <w:rStyle w:val="a9"/>
      </w:rPr>
      <w:fldChar w:fldCharType="end"/>
    </w:r>
  </w:p>
  <w:p w:rsidR="00925400" w:rsidRDefault="00925400">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409" w:rsidRDefault="002F1409">
      <w:pPr>
        <w:spacing w:after="0" w:line="240" w:lineRule="auto"/>
      </w:pPr>
      <w:r>
        <w:separator/>
      </w:r>
    </w:p>
  </w:footnote>
  <w:footnote w:type="continuationSeparator" w:id="0">
    <w:p w:rsidR="002F1409" w:rsidRDefault="002F14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5">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5">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565691C"/>
    <w:multiLevelType w:val="hybridMultilevel"/>
    <w:tmpl w:val="568CCB38"/>
    <w:lvl w:ilvl="0" w:tplc="70E4472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5810353"/>
    <w:multiLevelType w:val="hybridMultilevel"/>
    <w:tmpl w:val="6C268D54"/>
    <w:lvl w:ilvl="0" w:tplc="870C7E16">
      <w:start w:val="3"/>
      <w:numFmt w:val="decimal"/>
      <w:lvlText w:val="%1."/>
      <w:lvlJc w:val="left"/>
      <w:pPr>
        <w:ind w:left="39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nsid w:val="652D28E7"/>
    <w:multiLevelType w:val="hybridMultilevel"/>
    <w:tmpl w:val="A76660FE"/>
    <w:lvl w:ilvl="0" w:tplc="E59ACFF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3">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37">
    <w:nsid w:val="78396808"/>
    <w:multiLevelType w:val="hybridMultilevel"/>
    <w:tmpl w:val="5E9C11E2"/>
    <w:lvl w:ilvl="0" w:tplc="6D2486D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25"/>
  </w:num>
  <w:num w:numId="3">
    <w:abstractNumId w:val="10"/>
  </w:num>
  <w:num w:numId="4">
    <w:abstractNumId w:val="12"/>
  </w:num>
  <w:num w:numId="5">
    <w:abstractNumId w:val="23"/>
  </w:num>
  <w:num w:numId="6">
    <w:abstractNumId w:val="13"/>
  </w:num>
  <w:num w:numId="7">
    <w:abstractNumId w:val="5"/>
  </w:num>
  <w:num w:numId="8">
    <w:abstractNumId w:val="28"/>
  </w:num>
  <w:num w:numId="9">
    <w:abstractNumId w:val="29"/>
  </w:num>
  <w:num w:numId="10">
    <w:abstractNumId w:val="3"/>
  </w:num>
  <w:num w:numId="11">
    <w:abstractNumId w:val="21"/>
  </w:num>
  <w:num w:numId="12">
    <w:abstractNumId w:val="1"/>
  </w:num>
  <w:num w:numId="13">
    <w:abstractNumId w:val="11"/>
  </w:num>
  <w:num w:numId="14">
    <w:abstractNumId w:val="18"/>
  </w:num>
  <w:num w:numId="15">
    <w:abstractNumId w:val="24"/>
  </w:num>
  <w:num w:numId="16">
    <w:abstractNumId w:val="2"/>
  </w:num>
  <w:num w:numId="17">
    <w:abstractNumId w:val="8"/>
  </w:num>
  <w:num w:numId="18">
    <w:abstractNumId w:val="9"/>
  </w:num>
  <w:num w:numId="19">
    <w:abstractNumId w:val="33"/>
  </w:num>
  <w:num w:numId="20">
    <w:abstractNumId w:val="7"/>
  </w:num>
  <w:num w:numId="21">
    <w:abstractNumId w:val="39"/>
  </w:num>
  <w:num w:numId="22">
    <w:abstractNumId w:val="27"/>
  </w:num>
  <w:num w:numId="23">
    <w:abstractNumId w:val="16"/>
  </w:num>
  <w:num w:numId="24">
    <w:abstractNumId w:val="0"/>
  </w:num>
  <w:num w:numId="25">
    <w:abstractNumId w:val="17"/>
  </w:num>
  <w:num w:numId="26">
    <w:abstractNumId w:val="6"/>
  </w:num>
  <w:num w:numId="27">
    <w:abstractNumId w:val="35"/>
  </w:num>
  <w:num w:numId="28">
    <w:abstractNumId w:val="14"/>
  </w:num>
  <w:num w:numId="29">
    <w:abstractNumId w:val="15"/>
  </w:num>
  <w:num w:numId="30">
    <w:abstractNumId w:val="20"/>
  </w:num>
  <w:num w:numId="31">
    <w:abstractNumId w:val="36"/>
  </w:num>
  <w:num w:numId="32">
    <w:abstractNumId w:val="32"/>
  </w:num>
  <w:num w:numId="33">
    <w:abstractNumId w:val="22"/>
  </w:num>
  <w:num w:numId="34">
    <w:abstractNumId w:val="4"/>
  </w:num>
  <w:num w:numId="35">
    <w:abstractNumId w:val="31"/>
  </w:num>
  <w:num w:numId="36">
    <w:abstractNumId w:val="26"/>
  </w:num>
  <w:num w:numId="37">
    <w:abstractNumId w:val="38"/>
  </w:num>
  <w:num w:numId="38">
    <w:abstractNumId w:val="30"/>
  </w:num>
  <w:num w:numId="39">
    <w:abstractNumId w:val="19"/>
  </w:num>
  <w:num w:numId="4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400"/>
    <w:rsid w:val="002B2EA4"/>
    <w:rsid w:val="002F1409"/>
    <w:rsid w:val="0065078E"/>
    <w:rsid w:val="006F1118"/>
    <w:rsid w:val="007A22C3"/>
    <w:rsid w:val="009254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after="180" w:line="360" w:lineRule="atLeast"/>
      <w:jc w:val="both"/>
      <w:textAlignment w:val="baseline"/>
    </w:pPr>
    <w:rPr>
      <w:rFonts w:ascii="Times New Roman" w:eastAsia="바탕" w:hAnsi="Times New Roman"/>
      <w:lang w:val="en-GB" w:eastAsia="en-US"/>
    </w:rPr>
  </w:style>
  <w:style w:type="paragraph" w:styleId="1">
    <w:name w:val="heading 1"/>
    <w:next w:val="a"/>
    <w:link w:val="1Char"/>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widowControl w:val="0"/>
      <w:adjustRightInd w:val="0"/>
      <w:spacing w:after="120" w:line="360" w:lineRule="atLeast"/>
      <w:jc w:val="both"/>
      <w:textAlignment w:val="baseline"/>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列出段落1,列表段落1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ind w:leftChars="0" w:left="1135" w:firstLineChars="0" w:hanging="284"/>
      <w:contextualSpacing w:val="0"/>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ind w:leftChars="0" w:left="1418" w:firstLineChars="0" w:hanging="284"/>
      <w:contextualSpacing w:val="0"/>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spacing w:before="60"/>
      <w:jc w:val="center"/>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360" w:lineRule="atLeast"/>
      <w:jc w:val="both"/>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tabs>
        <w:tab w:val="right" w:leader="dot" w:pos="9639"/>
      </w:tabs>
      <w:overflowPunct w:val="0"/>
      <w:autoSpaceDE w:val="0"/>
      <w:autoSpaceDN w:val="0"/>
      <w:spacing w:after="0" w:line="240" w:lineRule="auto"/>
      <w:ind w:leftChars="0" w:left="2268" w:right="425" w:hanging="2268"/>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spacing w:line="240" w:lineRule="auto"/>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표 구분선11"/>
    <w:basedOn w:val="a1"/>
    <w:next w:val="ab"/>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표 구분선3"/>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257D0E-5E4E-4B51-9A96-F200583DA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1158</Words>
  <Characters>6603</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2</cp:revision>
  <dcterms:created xsi:type="dcterms:W3CDTF">2021-10-22T01:27:00Z</dcterms:created>
  <dcterms:modified xsi:type="dcterms:W3CDTF">2021-10-22T01:27:00Z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